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64E1E" w14:textId="77777777" w:rsidR="005D7460" w:rsidRPr="0035332B" w:rsidRDefault="005D7460" w:rsidP="0035332B">
      <w:pPr>
        <w:pStyle w:val="Bezodstpw"/>
        <w:spacing w:line="360" w:lineRule="auto"/>
        <w:rPr>
          <w:rFonts w:ascii="Times New Roman" w:hAnsi="Times New Roman" w:cs="Times New Roman"/>
          <w:b/>
          <w:bCs/>
        </w:rPr>
      </w:pPr>
      <w:r w:rsidRPr="0035332B">
        <w:rPr>
          <w:rFonts w:ascii="Times New Roman" w:hAnsi="Times New Roman" w:cs="Times New Roman"/>
          <w:b/>
          <w:bCs/>
        </w:rPr>
        <w:t>1 Wstęp.</w:t>
      </w:r>
    </w:p>
    <w:p w14:paraId="3DEFCFDB" w14:textId="77777777" w:rsidR="005D7460" w:rsidRPr="0035332B" w:rsidRDefault="005D7460" w:rsidP="0035332B">
      <w:pPr>
        <w:pStyle w:val="Bezodstpw"/>
        <w:spacing w:line="360" w:lineRule="auto"/>
        <w:rPr>
          <w:rFonts w:ascii="Times New Roman" w:hAnsi="Times New Roman" w:cs="Times New Roman"/>
          <w:b/>
          <w:bCs/>
        </w:rPr>
      </w:pPr>
      <w:r w:rsidRPr="0035332B">
        <w:rPr>
          <w:rFonts w:ascii="Times New Roman" w:hAnsi="Times New Roman" w:cs="Times New Roman"/>
          <w:b/>
          <w:bCs/>
        </w:rPr>
        <w:t>1.1 Przedmiot SST.</w:t>
      </w:r>
    </w:p>
    <w:p w14:paraId="609C1BF1" w14:textId="52AFA590" w:rsidR="005D7460" w:rsidRPr="005D7460" w:rsidRDefault="005D7460" w:rsidP="0035332B">
      <w:pPr>
        <w:jc w:val="both"/>
        <w:rPr>
          <w:rFonts w:ascii="Times New Roman" w:hAnsi="Times New Roman" w:cs="Times New Roman"/>
        </w:rPr>
      </w:pPr>
      <w:r w:rsidRPr="005D7460">
        <w:rPr>
          <w:rFonts w:ascii="Times New Roman" w:hAnsi="Times New Roman" w:cs="Times New Roman"/>
        </w:rPr>
        <w:t>Przedmiotem niniejszej szczegółowej specyfikacji technicznej są wymagania dotyczące wykonania i odbioru stolarki drzwiowej i okiennej.</w:t>
      </w:r>
    </w:p>
    <w:p w14:paraId="5FE8C6EA" w14:textId="77777777" w:rsidR="005D7460" w:rsidRPr="005D7460" w:rsidRDefault="005D7460" w:rsidP="0035332B">
      <w:pPr>
        <w:jc w:val="both"/>
        <w:rPr>
          <w:rFonts w:ascii="Times New Roman" w:hAnsi="Times New Roman" w:cs="Times New Roman"/>
        </w:rPr>
      </w:pPr>
      <w:r w:rsidRPr="0035332B">
        <w:rPr>
          <w:rFonts w:ascii="Times New Roman" w:hAnsi="Times New Roman" w:cs="Times New Roman"/>
          <w:b/>
          <w:bCs/>
        </w:rPr>
        <w:t>1.2. Zakres stosowania SST</w:t>
      </w:r>
      <w:r w:rsidRPr="005D7460">
        <w:rPr>
          <w:rFonts w:ascii="Times New Roman" w:hAnsi="Times New Roman" w:cs="Times New Roman"/>
        </w:rPr>
        <w:t>.</w:t>
      </w:r>
    </w:p>
    <w:p w14:paraId="7A990A9F" w14:textId="43403D4A"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Szczegółowa specyfikacja techniczna jest stosowana jako dokument przetargowy </w:t>
      </w:r>
      <w:r w:rsidR="00AA6624">
        <w:rPr>
          <w:rFonts w:ascii="Times New Roman" w:hAnsi="Times New Roman" w:cs="Times New Roman"/>
        </w:rPr>
        <w:br/>
      </w:r>
      <w:r w:rsidRPr="005D7460">
        <w:rPr>
          <w:rFonts w:ascii="Times New Roman" w:hAnsi="Times New Roman" w:cs="Times New Roman"/>
        </w:rPr>
        <w:t>i kontraktowy przy zlecaniu i realizacji robót</w:t>
      </w:r>
      <w:r w:rsidR="00E54A37">
        <w:rPr>
          <w:rFonts w:ascii="Times New Roman" w:hAnsi="Times New Roman" w:cs="Times New Roman"/>
        </w:rPr>
        <w:t>.</w:t>
      </w:r>
    </w:p>
    <w:p w14:paraId="5C396CF9" w14:textId="77777777" w:rsidR="005D7460" w:rsidRPr="0035332B" w:rsidRDefault="005D7460" w:rsidP="0035332B">
      <w:pPr>
        <w:jc w:val="both"/>
        <w:rPr>
          <w:rFonts w:ascii="Times New Roman" w:hAnsi="Times New Roman" w:cs="Times New Roman"/>
          <w:b/>
          <w:bCs/>
        </w:rPr>
      </w:pPr>
      <w:r w:rsidRPr="0035332B">
        <w:rPr>
          <w:rFonts w:ascii="Times New Roman" w:hAnsi="Times New Roman" w:cs="Times New Roman"/>
          <w:b/>
          <w:bCs/>
        </w:rPr>
        <w:t>1.3. Zakres robót objętych SST.</w:t>
      </w:r>
    </w:p>
    <w:p w14:paraId="6D5ABDFD" w14:textId="23594A44"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Zakres robót obejmuje: wg zakresu określonego w </w:t>
      </w:r>
      <w:r>
        <w:rPr>
          <w:rFonts w:ascii="Times New Roman" w:hAnsi="Times New Roman" w:cs="Times New Roman"/>
        </w:rPr>
        <w:t>audy</w:t>
      </w:r>
      <w:r w:rsidRPr="005D7460">
        <w:rPr>
          <w:rFonts w:ascii="Times New Roman" w:hAnsi="Times New Roman" w:cs="Times New Roman"/>
        </w:rPr>
        <w:t>cie, przedmiarze robót.</w:t>
      </w:r>
      <w:r w:rsidR="00AA6624">
        <w:rPr>
          <w:rFonts w:ascii="Times New Roman" w:hAnsi="Times New Roman" w:cs="Times New Roman"/>
        </w:rPr>
        <w:t xml:space="preserve"> </w:t>
      </w:r>
      <w:r w:rsidR="00AA6624">
        <w:rPr>
          <w:rFonts w:ascii="Times New Roman" w:hAnsi="Times New Roman" w:cs="Times New Roman"/>
        </w:rPr>
        <w:br/>
      </w:r>
      <w:r w:rsidRPr="005D7460">
        <w:rPr>
          <w:rFonts w:ascii="Times New Roman" w:hAnsi="Times New Roman" w:cs="Times New Roman"/>
        </w:rPr>
        <w:t>Roboty, których dotyczy specyfikacja, obejmują wszystkie czynności umożliwiające i mające na celu wykonanie montażu stolarki drzwiowej i okiennej.</w:t>
      </w:r>
    </w:p>
    <w:p w14:paraId="4D378134" w14:textId="77777777" w:rsidR="005D7460" w:rsidRPr="0035332B" w:rsidRDefault="005D7460" w:rsidP="0035332B">
      <w:pPr>
        <w:jc w:val="both"/>
        <w:rPr>
          <w:rFonts w:ascii="Times New Roman" w:hAnsi="Times New Roman" w:cs="Times New Roman"/>
          <w:b/>
          <w:bCs/>
        </w:rPr>
      </w:pPr>
      <w:r w:rsidRPr="0035332B">
        <w:rPr>
          <w:rFonts w:ascii="Times New Roman" w:hAnsi="Times New Roman" w:cs="Times New Roman"/>
          <w:b/>
          <w:bCs/>
        </w:rPr>
        <w:t>1.4. Określenia podstawowe.</w:t>
      </w:r>
    </w:p>
    <w:p w14:paraId="6564901D"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Określenia podane w niniejszej SST są zgodne z obowiązującymi odpowiednimi normami.</w:t>
      </w:r>
    </w:p>
    <w:p w14:paraId="5DF99BC6"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1.5. Ogólne wymagania dotyczące robót.</w:t>
      </w:r>
    </w:p>
    <w:p w14:paraId="00DB0330" w14:textId="3382C7D4"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Wykonawca robót jest odpowiedzialny za jakość ich wykonania oraz za zgodność </w:t>
      </w:r>
      <w:r w:rsidR="00AA6624">
        <w:rPr>
          <w:rFonts w:ascii="Times New Roman" w:hAnsi="Times New Roman" w:cs="Times New Roman"/>
        </w:rPr>
        <w:br/>
      </w:r>
      <w:r w:rsidRPr="005D7460">
        <w:rPr>
          <w:rFonts w:ascii="Times New Roman" w:hAnsi="Times New Roman" w:cs="Times New Roman"/>
        </w:rPr>
        <w:t>z uproszczonym projektem technicznym, SST i poleceniami Inspektora Nadzoru.</w:t>
      </w:r>
    </w:p>
    <w:p w14:paraId="6D15FC36"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2. Materiały.</w:t>
      </w:r>
    </w:p>
    <w:p w14:paraId="7F799129" w14:textId="2FB74A31" w:rsidR="005D7460" w:rsidRPr="00F51979" w:rsidRDefault="005D7460" w:rsidP="0035332B">
      <w:pPr>
        <w:jc w:val="both"/>
        <w:rPr>
          <w:rFonts w:ascii="Times New Roman" w:hAnsi="Times New Roman" w:cs="Times New Roman"/>
        </w:rPr>
      </w:pPr>
      <w:r w:rsidRPr="005D7460">
        <w:rPr>
          <w:rFonts w:ascii="Times New Roman" w:hAnsi="Times New Roman" w:cs="Times New Roman"/>
        </w:rPr>
        <w:t>2.1. Okna</w:t>
      </w:r>
      <w:r w:rsidR="006A6237">
        <w:rPr>
          <w:rFonts w:ascii="Times New Roman" w:hAnsi="Times New Roman" w:cs="Times New Roman"/>
        </w:rPr>
        <w:t xml:space="preserve"> trzyszybowe</w:t>
      </w:r>
      <w:r w:rsidRPr="005D7460">
        <w:rPr>
          <w:rFonts w:ascii="Times New Roman" w:hAnsi="Times New Roman" w:cs="Times New Roman"/>
        </w:rPr>
        <w:t xml:space="preserve"> z PC</w:t>
      </w:r>
      <w:r w:rsidR="00F33BCF">
        <w:rPr>
          <w:rFonts w:ascii="Times New Roman" w:hAnsi="Times New Roman" w:cs="Times New Roman"/>
        </w:rPr>
        <w:t>V</w:t>
      </w:r>
      <w:r w:rsidRPr="005D7460">
        <w:rPr>
          <w:rFonts w:ascii="Times New Roman" w:hAnsi="Times New Roman" w:cs="Times New Roman"/>
        </w:rPr>
        <w:t xml:space="preserve"> z </w:t>
      </w:r>
      <w:proofErr w:type="spellStart"/>
      <w:r w:rsidRPr="005D7460">
        <w:rPr>
          <w:rFonts w:ascii="Times New Roman" w:hAnsi="Times New Roman" w:cs="Times New Roman"/>
        </w:rPr>
        <w:t>okuciam</w:t>
      </w:r>
      <w:r w:rsidRPr="00F51979">
        <w:rPr>
          <w:rFonts w:ascii="Times New Roman" w:hAnsi="Times New Roman" w:cs="Times New Roman"/>
        </w:rPr>
        <w:t>i</w:t>
      </w:r>
      <w:proofErr w:type="spellEnd"/>
      <w:r w:rsidRPr="00F51979">
        <w:rPr>
          <w:rFonts w:ascii="Times New Roman" w:hAnsi="Times New Roman" w:cs="Times New Roman"/>
        </w:rPr>
        <w:t>, U</w:t>
      </w:r>
      <w:r w:rsidR="009A3ABF" w:rsidRPr="00F51979">
        <w:rPr>
          <w:rFonts w:ascii="Times New Roman" w:hAnsi="Times New Roman" w:cs="Times New Roman"/>
        </w:rPr>
        <w:t xml:space="preserve"> nie wyższy </w:t>
      </w:r>
      <w:r w:rsidRPr="00F51979">
        <w:rPr>
          <w:rFonts w:ascii="Times New Roman" w:hAnsi="Times New Roman" w:cs="Times New Roman"/>
        </w:rPr>
        <w:t xml:space="preserve">0,90 W/m2K, </w:t>
      </w:r>
    </w:p>
    <w:p w14:paraId="75C2CCB3" w14:textId="5B775A48" w:rsidR="005D7460" w:rsidRPr="00F51979" w:rsidRDefault="005D7460" w:rsidP="0035332B">
      <w:pPr>
        <w:jc w:val="both"/>
        <w:rPr>
          <w:rFonts w:ascii="Times New Roman" w:hAnsi="Times New Roman" w:cs="Times New Roman"/>
        </w:rPr>
      </w:pPr>
      <w:r w:rsidRPr="00F51979">
        <w:rPr>
          <w:rFonts w:ascii="Times New Roman" w:hAnsi="Times New Roman" w:cs="Times New Roman"/>
        </w:rPr>
        <w:t xml:space="preserve">Drzwi </w:t>
      </w:r>
      <w:r w:rsidR="009A3ABF" w:rsidRPr="00F51979">
        <w:rPr>
          <w:rFonts w:ascii="Times New Roman" w:hAnsi="Times New Roman" w:cs="Times New Roman"/>
        </w:rPr>
        <w:t xml:space="preserve">zewnętrzne </w:t>
      </w:r>
      <w:r w:rsidR="00F51979">
        <w:rPr>
          <w:rFonts w:ascii="Times New Roman" w:hAnsi="Times New Roman" w:cs="Times New Roman"/>
        </w:rPr>
        <w:t xml:space="preserve">aluminiowe </w:t>
      </w:r>
      <w:r w:rsidR="009A3ABF" w:rsidRPr="00F51979">
        <w:rPr>
          <w:rFonts w:ascii="Times New Roman" w:hAnsi="Times New Roman" w:cs="Times New Roman"/>
        </w:rPr>
        <w:t>o współczynniku U nie wyższym niż 1,3 W/m2K,</w:t>
      </w:r>
    </w:p>
    <w:p w14:paraId="4D33E424" w14:textId="255419E9"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Wbudować należy stolarkę kompletnie wykończoną wraz z </w:t>
      </w:r>
      <w:proofErr w:type="spellStart"/>
      <w:r w:rsidRPr="005D7460">
        <w:rPr>
          <w:rFonts w:ascii="Times New Roman" w:hAnsi="Times New Roman" w:cs="Times New Roman"/>
        </w:rPr>
        <w:t>okuciami</w:t>
      </w:r>
      <w:proofErr w:type="spellEnd"/>
      <w:r w:rsidRPr="005D7460">
        <w:rPr>
          <w:rFonts w:ascii="Times New Roman" w:hAnsi="Times New Roman" w:cs="Times New Roman"/>
        </w:rPr>
        <w:t>.</w:t>
      </w:r>
      <w:r w:rsidR="00FB0F05">
        <w:rPr>
          <w:rFonts w:ascii="Times New Roman" w:hAnsi="Times New Roman" w:cs="Times New Roman"/>
        </w:rPr>
        <w:t xml:space="preserve"> Kolorystyka wewnątrz: biała, zewnętrzna: kolor brązowy – zbliżony do istniejącego. Schemat otwierania okien – w nawiązaniu do istniejącego.</w:t>
      </w:r>
    </w:p>
    <w:p w14:paraId="5AC40F52" w14:textId="77777777" w:rsidR="005D7460" w:rsidRPr="005D7460" w:rsidRDefault="005D7460" w:rsidP="0035332B">
      <w:pPr>
        <w:jc w:val="both"/>
        <w:rPr>
          <w:rFonts w:ascii="Times New Roman" w:hAnsi="Times New Roman" w:cs="Times New Roman"/>
        </w:rPr>
      </w:pPr>
      <w:r w:rsidRPr="00AA6624">
        <w:rPr>
          <w:rFonts w:ascii="Times New Roman" w:hAnsi="Times New Roman" w:cs="Times New Roman"/>
          <w:b/>
          <w:bCs/>
        </w:rPr>
        <w:t>2.2. Okucia budowlane</w:t>
      </w:r>
      <w:r w:rsidRPr="005D7460">
        <w:rPr>
          <w:rFonts w:ascii="Times New Roman" w:hAnsi="Times New Roman" w:cs="Times New Roman"/>
        </w:rPr>
        <w:t>.</w:t>
      </w:r>
    </w:p>
    <w:p w14:paraId="62E00BA2" w14:textId="030FDC9E" w:rsidR="005D7460" w:rsidRPr="005D7460" w:rsidRDefault="005D7460" w:rsidP="0035332B">
      <w:pPr>
        <w:jc w:val="both"/>
        <w:rPr>
          <w:rFonts w:ascii="Times New Roman" w:hAnsi="Times New Roman" w:cs="Times New Roman"/>
        </w:rPr>
      </w:pPr>
      <w:r w:rsidRPr="005D7460">
        <w:rPr>
          <w:rFonts w:ascii="Times New Roman" w:hAnsi="Times New Roman" w:cs="Times New Roman"/>
        </w:rPr>
        <w:t>2.2.1. Każdy wyrób stolarki budowlanej powinien być wyposażony w okucia zamykające, łączące, zabezpieczające i uchwytowo-osłonowe.</w:t>
      </w:r>
    </w:p>
    <w:p w14:paraId="5653810E" w14:textId="765CC400" w:rsidR="005D7460" w:rsidRPr="005D7460" w:rsidRDefault="005D7460" w:rsidP="0035332B">
      <w:pPr>
        <w:jc w:val="both"/>
        <w:rPr>
          <w:rFonts w:ascii="Times New Roman" w:hAnsi="Times New Roman" w:cs="Times New Roman"/>
        </w:rPr>
      </w:pPr>
      <w:r w:rsidRPr="005D7460">
        <w:rPr>
          <w:rFonts w:ascii="Times New Roman" w:hAnsi="Times New Roman" w:cs="Times New Roman"/>
        </w:rPr>
        <w:t>2.2.2. Okucia powinny odpowiadać wymaganiom norm państwowych, a w przypadku braku takich</w:t>
      </w:r>
      <w:r>
        <w:rPr>
          <w:rFonts w:ascii="Times New Roman" w:hAnsi="Times New Roman" w:cs="Times New Roman"/>
        </w:rPr>
        <w:t xml:space="preserve"> </w:t>
      </w:r>
      <w:r w:rsidRPr="005D7460">
        <w:rPr>
          <w:rFonts w:ascii="Times New Roman" w:hAnsi="Times New Roman" w:cs="Times New Roman"/>
        </w:rPr>
        <w:t>norm - wymaganiom określonym w świadectwie ITB dopuszczającym do stosowania</w:t>
      </w:r>
      <w:r>
        <w:rPr>
          <w:rFonts w:ascii="Times New Roman" w:hAnsi="Times New Roman" w:cs="Times New Roman"/>
        </w:rPr>
        <w:t xml:space="preserve"> </w:t>
      </w:r>
      <w:r w:rsidRPr="005D7460">
        <w:rPr>
          <w:rFonts w:ascii="Times New Roman" w:hAnsi="Times New Roman" w:cs="Times New Roman"/>
        </w:rPr>
        <w:t>wyroby stolarki budowlanej wyposażone w okucie, na które nie została ustanowiona norma.</w:t>
      </w:r>
    </w:p>
    <w:p w14:paraId="6A98DBEB" w14:textId="3362C9E3"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2.2.3. Okucia stalowe powinny być zabezpieczone fabrycznie trwałymi powłokami </w:t>
      </w:r>
      <w:r>
        <w:rPr>
          <w:rFonts w:ascii="Times New Roman" w:hAnsi="Times New Roman" w:cs="Times New Roman"/>
        </w:rPr>
        <w:t>a</w:t>
      </w:r>
      <w:r w:rsidRPr="005D7460">
        <w:rPr>
          <w:rFonts w:ascii="Times New Roman" w:hAnsi="Times New Roman" w:cs="Times New Roman"/>
        </w:rPr>
        <w:t>ntykorozyjnymi. Okucia nie zabezpieczone należy, przed ich zamocowaniem, pokryć minią</w:t>
      </w:r>
      <w:r>
        <w:rPr>
          <w:rFonts w:ascii="Times New Roman" w:hAnsi="Times New Roman" w:cs="Times New Roman"/>
        </w:rPr>
        <w:t xml:space="preserve"> </w:t>
      </w:r>
      <w:r w:rsidRPr="005D7460">
        <w:rPr>
          <w:rFonts w:ascii="Times New Roman" w:hAnsi="Times New Roman" w:cs="Times New Roman"/>
        </w:rPr>
        <w:t>ołowianą lub farbą ftalową, chromianową przeciwrdzewną.</w:t>
      </w:r>
    </w:p>
    <w:p w14:paraId="0539C29B"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2.3. Szkło</w:t>
      </w:r>
    </w:p>
    <w:p w14:paraId="13EB6DEE" w14:textId="54B4E0ED" w:rsidR="005D7460" w:rsidRPr="00F51979" w:rsidRDefault="005D7460" w:rsidP="0035332B">
      <w:pPr>
        <w:jc w:val="both"/>
        <w:rPr>
          <w:rFonts w:ascii="Times New Roman" w:hAnsi="Times New Roman" w:cs="Times New Roman"/>
        </w:rPr>
      </w:pPr>
      <w:r w:rsidRPr="00F51979">
        <w:rPr>
          <w:rFonts w:ascii="Times New Roman" w:hAnsi="Times New Roman" w:cs="Times New Roman"/>
        </w:rPr>
        <w:t>Do szklenia należy stosować szkło płaskie walcowane</w:t>
      </w:r>
      <w:r w:rsidR="009A3ABF" w:rsidRPr="00F51979">
        <w:rPr>
          <w:rFonts w:ascii="Times New Roman" w:hAnsi="Times New Roman" w:cs="Times New Roman"/>
        </w:rPr>
        <w:t xml:space="preserve">. </w:t>
      </w:r>
    </w:p>
    <w:p w14:paraId="49E51116"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lastRenderedPageBreak/>
        <w:t>2.4. Składowanie elementów</w:t>
      </w:r>
    </w:p>
    <w:p w14:paraId="42C2DB79" w14:textId="0B76D8EB"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Wszystkie wyroby należy przechowywać w magazynach zamkniętych, suchych </w:t>
      </w:r>
      <w:r w:rsidR="006A6237">
        <w:rPr>
          <w:rFonts w:ascii="Times New Roman" w:hAnsi="Times New Roman" w:cs="Times New Roman"/>
        </w:rPr>
        <w:br/>
      </w:r>
      <w:r w:rsidRPr="005D7460">
        <w:rPr>
          <w:rFonts w:ascii="Times New Roman" w:hAnsi="Times New Roman" w:cs="Times New Roman"/>
        </w:rPr>
        <w:t xml:space="preserve">i  przewiewnych zabezpieczonych przed opadami atmosferycznymi. Podłogi w pomieszczeniu magazynowym powinny być utwardzone, poziome i równe. Wyroby należy układać w jednej lub kilku warstwach w odległości nie mniejszej niż 1 m od czynnych urządzeń grzejnych </w:t>
      </w:r>
      <w:r w:rsidR="006A6237">
        <w:rPr>
          <w:rFonts w:ascii="Times New Roman" w:hAnsi="Times New Roman" w:cs="Times New Roman"/>
        </w:rPr>
        <w:br/>
      </w:r>
      <w:r w:rsidRPr="005D7460">
        <w:rPr>
          <w:rFonts w:ascii="Times New Roman" w:hAnsi="Times New Roman" w:cs="Times New Roman"/>
        </w:rPr>
        <w:t>i zabezpieczyć przed uszkodzeniem.</w:t>
      </w:r>
    </w:p>
    <w:p w14:paraId="486A7BCF"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3. Sprzęt.</w:t>
      </w:r>
    </w:p>
    <w:p w14:paraId="3D2568EA" w14:textId="509D3B3D" w:rsidR="005D7460" w:rsidRPr="005D7460" w:rsidRDefault="005D7460" w:rsidP="0035332B">
      <w:pPr>
        <w:jc w:val="both"/>
        <w:rPr>
          <w:rFonts w:ascii="Times New Roman" w:hAnsi="Times New Roman" w:cs="Times New Roman"/>
        </w:rPr>
      </w:pPr>
      <w:r w:rsidRPr="005D7460">
        <w:rPr>
          <w:rFonts w:ascii="Times New Roman" w:hAnsi="Times New Roman" w:cs="Times New Roman"/>
        </w:rPr>
        <w:t>Roboty można wykonać przy użyciu dowolnego typu sprzętu zaakceptowanego przez Inspektora nadzoru inwestorskiego</w:t>
      </w:r>
    </w:p>
    <w:p w14:paraId="5F36A908"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4. Transport.</w:t>
      </w:r>
    </w:p>
    <w:p w14:paraId="28ECED55" w14:textId="62BD8844" w:rsidR="005D7460" w:rsidRPr="005D7460" w:rsidRDefault="005D7460" w:rsidP="0035332B">
      <w:pPr>
        <w:jc w:val="both"/>
        <w:rPr>
          <w:rFonts w:ascii="Times New Roman" w:hAnsi="Times New Roman" w:cs="Times New Roman"/>
        </w:rPr>
      </w:pPr>
      <w:r w:rsidRPr="005D7460">
        <w:rPr>
          <w:rFonts w:ascii="Times New Roman" w:hAnsi="Times New Roman" w:cs="Times New Roman"/>
        </w:rPr>
        <w:t>Każda partia wyrobów przewidziana do wysyłki powinna zawierać wszystkie elementy przewidziane normą lub projektem indywidualnym. Okucia nie zamontowane do wyrobu przechowywać i transportować w odrębnych opakowaniach. Elementy do transportu należy zabezpieczyć przed uszkodzeniem przez odpowiednie opakowanie. Zabezpieczone przed uszkodzeniem elementy przewozić w miarę możliwości przy użyciu palet lub jednostek kontenerowych. Elementy mogą być przewożone dowolnymi środkami transportu zaakceptowanymi przez Inspektora nadzoru, oraz zabezpieczone przed uszkodzeniami, przesunięciem lub utratą stateczności. Sposób składowania wg punktu 2.4.</w:t>
      </w:r>
    </w:p>
    <w:p w14:paraId="2459968B"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5. Wykonanie robót.</w:t>
      </w:r>
    </w:p>
    <w:p w14:paraId="1BF122F9" w14:textId="77777777" w:rsidR="005D7460" w:rsidRPr="005D7460" w:rsidRDefault="005D7460" w:rsidP="0035332B">
      <w:pPr>
        <w:jc w:val="both"/>
        <w:rPr>
          <w:rFonts w:ascii="Times New Roman" w:hAnsi="Times New Roman" w:cs="Times New Roman"/>
        </w:rPr>
      </w:pPr>
      <w:r w:rsidRPr="00AA6624">
        <w:rPr>
          <w:rFonts w:ascii="Times New Roman" w:hAnsi="Times New Roman" w:cs="Times New Roman"/>
          <w:b/>
          <w:bCs/>
        </w:rPr>
        <w:t>5.1. Przygotowanie ościeży</w:t>
      </w:r>
      <w:r w:rsidRPr="005D7460">
        <w:rPr>
          <w:rFonts w:ascii="Times New Roman" w:hAnsi="Times New Roman" w:cs="Times New Roman"/>
        </w:rPr>
        <w:t>.</w:t>
      </w:r>
    </w:p>
    <w:p w14:paraId="43251FEF" w14:textId="5ED9A23B" w:rsidR="005D7460" w:rsidRPr="005D7460" w:rsidRDefault="005D7460" w:rsidP="0035332B">
      <w:pPr>
        <w:jc w:val="both"/>
        <w:rPr>
          <w:rFonts w:ascii="Times New Roman" w:hAnsi="Times New Roman" w:cs="Times New Roman"/>
        </w:rPr>
      </w:pPr>
      <w:r w:rsidRPr="005D7460">
        <w:rPr>
          <w:rFonts w:ascii="Times New Roman" w:hAnsi="Times New Roman" w:cs="Times New Roman"/>
        </w:rPr>
        <w:t>5.1.1. Przed osadzeniem stolarki należy sprawdzić dokładność wykonania ościeża, do którego ma przylegać ościeżnica. W przypadku występujących wad w wykonaniu ościeża lub  zabrudzenia powierzchni ościeża, ościeże należy naprawić i oczyścić.</w:t>
      </w:r>
    </w:p>
    <w:p w14:paraId="76B67D50" w14:textId="2864456D" w:rsidR="005D7460" w:rsidRPr="005D7460" w:rsidRDefault="005D7460" w:rsidP="0035332B">
      <w:pPr>
        <w:jc w:val="both"/>
        <w:rPr>
          <w:rFonts w:ascii="Times New Roman" w:hAnsi="Times New Roman" w:cs="Times New Roman"/>
        </w:rPr>
      </w:pPr>
      <w:r w:rsidRPr="005D7460">
        <w:rPr>
          <w:rFonts w:ascii="Times New Roman" w:hAnsi="Times New Roman" w:cs="Times New Roman"/>
        </w:rPr>
        <w:t>5.1.2. Stolarkę okienną należy zamocować w punktach rozmieszczonych w ościeżu zgodnie z</w:t>
      </w:r>
      <w:r w:rsidR="0035332B">
        <w:rPr>
          <w:rFonts w:ascii="Times New Roman" w:hAnsi="Times New Roman" w:cs="Times New Roman"/>
        </w:rPr>
        <w:t xml:space="preserve"> </w:t>
      </w:r>
      <w:r w:rsidRPr="005D7460">
        <w:rPr>
          <w:rFonts w:ascii="Times New Roman" w:hAnsi="Times New Roman" w:cs="Times New Roman"/>
        </w:rPr>
        <w:t>wymaganiami podanymi w tabeli poniżej.</w:t>
      </w:r>
    </w:p>
    <w:p w14:paraId="53501A82" w14:textId="77777777" w:rsidR="005D7460" w:rsidRPr="005D7460" w:rsidRDefault="005D7460" w:rsidP="0035332B">
      <w:pPr>
        <w:jc w:val="center"/>
        <w:rPr>
          <w:rFonts w:ascii="Times New Roman" w:hAnsi="Times New Roman" w:cs="Times New Roman"/>
        </w:rPr>
      </w:pPr>
      <w:r w:rsidRPr="005D7460">
        <w:rPr>
          <w:rFonts w:ascii="Times New Roman" w:hAnsi="Times New Roman" w:cs="Times New Roman"/>
          <w:noProof/>
        </w:rPr>
        <w:drawing>
          <wp:inline distT="0" distB="0" distL="0" distR="0" wp14:anchorId="79B27430" wp14:editId="3C5FF578">
            <wp:extent cx="4471945" cy="1762125"/>
            <wp:effectExtent l="0" t="0" r="5080" b="0"/>
            <wp:docPr id="9801282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96515" cy="1771806"/>
                    </a:xfrm>
                    <a:prstGeom prst="rect">
                      <a:avLst/>
                    </a:prstGeom>
                    <a:noFill/>
                    <a:ln>
                      <a:noFill/>
                    </a:ln>
                  </pic:spPr>
                </pic:pic>
              </a:graphicData>
            </a:graphic>
          </wp:inline>
        </w:drawing>
      </w:r>
    </w:p>
    <w:p w14:paraId="156333EE" w14:textId="1BDB9E2E" w:rsidR="005D7460" w:rsidRDefault="005D7460" w:rsidP="0035332B">
      <w:pPr>
        <w:jc w:val="both"/>
        <w:rPr>
          <w:rFonts w:ascii="Times New Roman" w:hAnsi="Times New Roman" w:cs="Times New Roman"/>
        </w:rPr>
      </w:pPr>
      <w:r w:rsidRPr="005D7460">
        <w:rPr>
          <w:rFonts w:ascii="Times New Roman" w:hAnsi="Times New Roman" w:cs="Times New Roman"/>
        </w:rPr>
        <w:t xml:space="preserve">5.1.3. Skrzydła okienne i drzwiowe, ościeżnice powinny mieć usunięte wszystkie drobne wady powierzchniowe, </w:t>
      </w:r>
      <w:proofErr w:type="spellStart"/>
      <w:r w:rsidRPr="005D7460">
        <w:rPr>
          <w:rFonts w:ascii="Times New Roman" w:hAnsi="Times New Roman" w:cs="Times New Roman"/>
        </w:rPr>
        <w:t>np</w:t>
      </w:r>
      <w:proofErr w:type="spellEnd"/>
      <w:r w:rsidRPr="005D7460">
        <w:rPr>
          <w:rFonts w:ascii="Times New Roman" w:hAnsi="Times New Roman" w:cs="Times New Roman"/>
        </w:rPr>
        <w:t xml:space="preserve"> pęknięcia, wyrwy. Wymienione ubytki należy wypełnić kitem syntetycznym (ftalowym).</w:t>
      </w:r>
    </w:p>
    <w:p w14:paraId="1BEF1FAD" w14:textId="77777777" w:rsidR="00FB0F05" w:rsidRPr="005D7460" w:rsidRDefault="00FB0F05" w:rsidP="0035332B">
      <w:pPr>
        <w:jc w:val="both"/>
        <w:rPr>
          <w:rFonts w:ascii="Times New Roman" w:hAnsi="Times New Roman" w:cs="Times New Roman"/>
        </w:rPr>
      </w:pPr>
    </w:p>
    <w:p w14:paraId="19CBF01B"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lastRenderedPageBreak/>
        <w:t>5.2. Osadzanie i uszczelnianie stolarki</w:t>
      </w:r>
    </w:p>
    <w:p w14:paraId="3FC6E997"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5.2.1. Osadzanie stolarki okiennej</w:t>
      </w:r>
    </w:p>
    <w:p w14:paraId="7B6FAAA2" w14:textId="150E68CB" w:rsidR="005D7460" w:rsidRPr="005D7460" w:rsidRDefault="005D7460" w:rsidP="0035332B">
      <w:pPr>
        <w:jc w:val="both"/>
        <w:rPr>
          <w:rFonts w:ascii="Times New Roman" w:hAnsi="Times New Roman" w:cs="Times New Roman"/>
        </w:rPr>
      </w:pPr>
      <w:r w:rsidRPr="005D7460">
        <w:rPr>
          <w:rFonts w:ascii="Times New Roman" w:hAnsi="Times New Roman" w:cs="Times New Roman"/>
        </w:rPr>
        <w:t>W sprawdzone i przygotowane ościeże należy wstawić stolarkę na podkładkach lub listwach. Elementy kotwiące osadzić w ościeżach. Uszczelnienie ościeży należy wykonać pianką poliuretanową a szczelin; przykryć listwą. Ustawienie okna należy sprawdzić w pionie i w poziomie. Dopuszczalne odchylenie od pionu powinno być mniejsze od 1 mm na 1 m wysokości okna, nie więcej niż 3 mm.</w:t>
      </w:r>
    </w:p>
    <w:p w14:paraId="05F1FF3E"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Różnice wymiarów po przekątnych nie powinny być większe od:</w:t>
      </w:r>
    </w:p>
    <w:p w14:paraId="2FD9A0B3" w14:textId="503A182D" w:rsidR="005D7460" w:rsidRPr="005D7460" w:rsidRDefault="005D7460" w:rsidP="0035332B">
      <w:pPr>
        <w:pStyle w:val="Akapitzlist"/>
        <w:numPr>
          <w:ilvl w:val="0"/>
          <w:numId w:val="1"/>
        </w:numPr>
        <w:jc w:val="both"/>
        <w:rPr>
          <w:rFonts w:ascii="Times New Roman" w:hAnsi="Times New Roman" w:cs="Times New Roman"/>
        </w:rPr>
      </w:pPr>
      <w:r w:rsidRPr="005D7460">
        <w:rPr>
          <w:rFonts w:ascii="Times New Roman" w:hAnsi="Times New Roman" w:cs="Times New Roman"/>
        </w:rPr>
        <w:t>2 mm przy długości przekątnej do 1 m,</w:t>
      </w:r>
    </w:p>
    <w:p w14:paraId="4AF6CF30" w14:textId="72780C71" w:rsidR="005D7460" w:rsidRPr="005D7460" w:rsidRDefault="005D7460" w:rsidP="0035332B">
      <w:pPr>
        <w:pStyle w:val="Akapitzlist"/>
        <w:numPr>
          <w:ilvl w:val="0"/>
          <w:numId w:val="1"/>
        </w:numPr>
        <w:jc w:val="both"/>
        <w:rPr>
          <w:rFonts w:ascii="Times New Roman" w:hAnsi="Times New Roman" w:cs="Times New Roman"/>
        </w:rPr>
      </w:pPr>
      <w:r w:rsidRPr="005D7460">
        <w:rPr>
          <w:rFonts w:ascii="Times New Roman" w:hAnsi="Times New Roman" w:cs="Times New Roman"/>
        </w:rPr>
        <w:t>3 mm przy długości przekątnej do 2 m,</w:t>
      </w:r>
    </w:p>
    <w:p w14:paraId="79774E4F" w14:textId="04920FE2" w:rsidR="005D7460" w:rsidRPr="005D7460" w:rsidRDefault="005D7460" w:rsidP="0035332B">
      <w:pPr>
        <w:pStyle w:val="Akapitzlist"/>
        <w:numPr>
          <w:ilvl w:val="0"/>
          <w:numId w:val="1"/>
        </w:numPr>
        <w:jc w:val="both"/>
        <w:rPr>
          <w:rFonts w:ascii="Times New Roman" w:hAnsi="Times New Roman" w:cs="Times New Roman"/>
        </w:rPr>
      </w:pPr>
      <w:r w:rsidRPr="005D7460">
        <w:rPr>
          <w:rFonts w:ascii="Times New Roman" w:hAnsi="Times New Roman" w:cs="Times New Roman"/>
        </w:rPr>
        <w:t>4 mm przy długości przekątnej powyżej 2 m.</w:t>
      </w:r>
    </w:p>
    <w:p w14:paraId="71041FC9"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Zamocowane okno należy uszczelnić pod względem termicznym przez wypełnienie szczeliny</w:t>
      </w:r>
    </w:p>
    <w:p w14:paraId="46446239"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między ościeżem a ościeżnicą materiałem izolacyjnym dopuszczonym do stosowania do tego</w:t>
      </w:r>
    </w:p>
    <w:p w14:paraId="4878F674"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celu świadectwem ITB. Zabrania się używać do tego celu materiałów wydzielających związki</w:t>
      </w:r>
    </w:p>
    <w:p w14:paraId="3181189B" w14:textId="19659D0F" w:rsidR="005D7460" w:rsidRPr="005D7460" w:rsidRDefault="005D7460" w:rsidP="0035332B">
      <w:pPr>
        <w:jc w:val="both"/>
        <w:rPr>
          <w:rFonts w:ascii="Times New Roman" w:hAnsi="Times New Roman" w:cs="Times New Roman"/>
        </w:rPr>
      </w:pPr>
      <w:r w:rsidRPr="005D7460">
        <w:rPr>
          <w:rFonts w:ascii="Times New Roman" w:hAnsi="Times New Roman" w:cs="Times New Roman"/>
        </w:rPr>
        <w:t>chemiczne szkodliwe dla zdrowia ludzi. Osadzone okno po zmontowaniu należy dokładnie zamknąć.</w:t>
      </w:r>
    </w:p>
    <w:p w14:paraId="4099BE70"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5.2.3. Osadzanie stolarki drzwiowej</w:t>
      </w:r>
    </w:p>
    <w:p w14:paraId="29CD4F32" w14:textId="29191CC4" w:rsidR="005D7460" w:rsidRPr="005D7460" w:rsidRDefault="005D7460" w:rsidP="0035332B">
      <w:pPr>
        <w:jc w:val="both"/>
        <w:rPr>
          <w:rFonts w:ascii="Times New Roman" w:hAnsi="Times New Roman" w:cs="Times New Roman"/>
        </w:rPr>
      </w:pPr>
      <w:r w:rsidRPr="005D7460">
        <w:rPr>
          <w:rFonts w:ascii="Times New Roman" w:hAnsi="Times New Roman" w:cs="Times New Roman"/>
        </w:rPr>
        <w:t>Dokładność wykonania ościeży powinna odpowiadać wymogom dla robót murowych. Ościeżnicę mocować za pomocą kotew lub haków osadzonych w ościeżu. Ościeżnice należy zabezpieczyć przed korozją biologiczną od strony muru.</w:t>
      </w:r>
    </w:p>
    <w:p w14:paraId="59610CB8" w14:textId="29294643" w:rsidR="005D7460" w:rsidRPr="005D7460" w:rsidRDefault="005D7460" w:rsidP="0035332B">
      <w:pPr>
        <w:jc w:val="both"/>
        <w:rPr>
          <w:rFonts w:ascii="Times New Roman" w:hAnsi="Times New Roman" w:cs="Times New Roman"/>
        </w:rPr>
      </w:pPr>
      <w:r w:rsidRPr="005D7460">
        <w:rPr>
          <w:rFonts w:ascii="Times New Roman" w:hAnsi="Times New Roman" w:cs="Times New Roman"/>
        </w:rPr>
        <w:t xml:space="preserve">Szczeliny między ościeżnicą a murem wypełnić materiałem izolacyjnym dopuszczonym do tego celu świadectwem ITB. Wrota i bramy powinny być wbudowane zgodnie z </w:t>
      </w:r>
      <w:r w:rsidR="0035332B">
        <w:rPr>
          <w:rFonts w:ascii="Times New Roman" w:hAnsi="Times New Roman" w:cs="Times New Roman"/>
        </w:rPr>
        <w:t>u</w:t>
      </w:r>
      <w:r w:rsidRPr="005D7460">
        <w:rPr>
          <w:rFonts w:ascii="Times New Roman" w:hAnsi="Times New Roman" w:cs="Times New Roman"/>
        </w:rPr>
        <w:t xml:space="preserve">proszczonym projektem technicznym. Przed trwałym zamocowaniem należy sprawdzić ustawienie ościeżnic w pionie i poziomie; w wypadku bram </w:t>
      </w:r>
      <w:proofErr w:type="spellStart"/>
      <w:r w:rsidRPr="005D7460">
        <w:rPr>
          <w:rFonts w:ascii="Times New Roman" w:hAnsi="Times New Roman" w:cs="Times New Roman"/>
        </w:rPr>
        <w:t>bezościeżnicowych</w:t>
      </w:r>
      <w:proofErr w:type="spellEnd"/>
      <w:r w:rsidRPr="005D7460">
        <w:rPr>
          <w:rFonts w:ascii="Times New Roman" w:hAnsi="Times New Roman" w:cs="Times New Roman"/>
        </w:rPr>
        <w:t xml:space="preserve"> sprawdzić ustawienie zawiasów kotwionych w ościeżu. Po zmontowaniu bramy dokładnie zamknąć i sprawdzić luzy. Dopuszczalne wymiary luzów w stykach elementów stolarskich.</w:t>
      </w:r>
    </w:p>
    <w:p w14:paraId="158E857D" w14:textId="77777777" w:rsidR="0035332B" w:rsidRDefault="005D7460" w:rsidP="0035332B">
      <w:pPr>
        <w:jc w:val="center"/>
        <w:rPr>
          <w:rFonts w:ascii="Times New Roman" w:hAnsi="Times New Roman" w:cs="Times New Roman"/>
        </w:rPr>
      </w:pPr>
      <w:r w:rsidRPr="005D7460">
        <w:rPr>
          <w:rFonts w:ascii="Times New Roman" w:hAnsi="Times New Roman" w:cs="Times New Roman"/>
          <w:noProof/>
        </w:rPr>
        <w:drawing>
          <wp:inline distT="0" distB="0" distL="0" distR="0" wp14:anchorId="57134576" wp14:editId="091AB513">
            <wp:extent cx="4242152" cy="876300"/>
            <wp:effectExtent l="0" t="0" r="6350" b="0"/>
            <wp:docPr id="18280399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78272" cy="883761"/>
                    </a:xfrm>
                    <a:prstGeom prst="rect">
                      <a:avLst/>
                    </a:prstGeom>
                    <a:noFill/>
                    <a:ln>
                      <a:noFill/>
                    </a:ln>
                  </pic:spPr>
                </pic:pic>
              </a:graphicData>
            </a:graphic>
          </wp:inline>
        </w:drawing>
      </w:r>
    </w:p>
    <w:p w14:paraId="4A1755F8" w14:textId="02C9DF77" w:rsidR="005D7460" w:rsidRPr="005D7460" w:rsidRDefault="005D7460" w:rsidP="0035332B">
      <w:pPr>
        <w:jc w:val="both"/>
        <w:rPr>
          <w:rFonts w:ascii="Times New Roman" w:hAnsi="Times New Roman" w:cs="Times New Roman"/>
        </w:rPr>
      </w:pPr>
      <w:r w:rsidRPr="00AA6624">
        <w:rPr>
          <w:rFonts w:ascii="Times New Roman" w:hAnsi="Times New Roman" w:cs="Times New Roman"/>
          <w:b/>
          <w:bCs/>
        </w:rPr>
        <w:t>6. Kontrola jakości</w:t>
      </w:r>
      <w:r w:rsidRPr="005D7460">
        <w:rPr>
          <w:rFonts w:ascii="Times New Roman" w:hAnsi="Times New Roman" w:cs="Times New Roman"/>
        </w:rPr>
        <w:t>.</w:t>
      </w:r>
    </w:p>
    <w:p w14:paraId="7C49E873"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6.1. Zasady kontroli jakości powinny być zgodne z wymogami PN-88/B-10085 dla stolarki</w:t>
      </w:r>
    </w:p>
    <w:p w14:paraId="3A67906B"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okiennej i drzwiowej, PN-72/B-10180 dla robót szklarskich.</w:t>
      </w:r>
    </w:p>
    <w:p w14:paraId="321C3077"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6.2. Ocena jakości powinna obejmować:</w:t>
      </w:r>
    </w:p>
    <w:p w14:paraId="7E7C05AA" w14:textId="36F0BBDA"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lastRenderedPageBreak/>
        <w:t>sprawdzenie zgodności wymiarów,</w:t>
      </w:r>
    </w:p>
    <w:p w14:paraId="49690326" w14:textId="132B0E5D"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t>sprawdzenie zgodności elementów odtwarzanych z elementami dostarczonymi do odwzorowania,</w:t>
      </w:r>
    </w:p>
    <w:p w14:paraId="5CAA9228" w14:textId="33DD05B0"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t>sprawdzenie jakości materiałów z których została wykonana stolarka,</w:t>
      </w:r>
    </w:p>
    <w:p w14:paraId="16B60211" w14:textId="6B2005B4"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t>sprawdzenie prawidłowości wykonania z uwzględnieniem szczegółów konstrukcyjnych,</w:t>
      </w:r>
    </w:p>
    <w:p w14:paraId="5F7A117A" w14:textId="612689F7"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t>sprawdzenie działania skrzydeł i elementów ruchomych, okuć oraz ich funkcjonowania,</w:t>
      </w:r>
    </w:p>
    <w:p w14:paraId="68FD6436" w14:textId="581502F0" w:rsidR="005D7460" w:rsidRPr="005D7460" w:rsidRDefault="005D7460" w:rsidP="0035332B">
      <w:pPr>
        <w:pStyle w:val="Akapitzlist"/>
        <w:numPr>
          <w:ilvl w:val="0"/>
          <w:numId w:val="2"/>
        </w:numPr>
        <w:jc w:val="both"/>
        <w:rPr>
          <w:rFonts w:ascii="Times New Roman" w:hAnsi="Times New Roman" w:cs="Times New Roman"/>
        </w:rPr>
      </w:pPr>
      <w:r w:rsidRPr="005D7460">
        <w:rPr>
          <w:rFonts w:ascii="Times New Roman" w:hAnsi="Times New Roman" w:cs="Times New Roman"/>
        </w:rPr>
        <w:t>sprawdzenie prawidłowości zmontowania i uszczelnienia. Roboty podlegają odbiorowi.</w:t>
      </w:r>
    </w:p>
    <w:p w14:paraId="5BFA6539"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7. Obmiar robót.</w:t>
      </w:r>
    </w:p>
    <w:p w14:paraId="300A3458"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Jednostką obmiarową robót jest szt. wbudowanej stolarki w świetle ościeżnic.</w:t>
      </w:r>
    </w:p>
    <w:p w14:paraId="1286D862"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8. Odbiór robót.</w:t>
      </w:r>
    </w:p>
    <w:p w14:paraId="22F4FEA7" w14:textId="6B15D292" w:rsidR="005D7460" w:rsidRPr="005D7460" w:rsidRDefault="005D7460" w:rsidP="0035332B">
      <w:pPr>
        <w:jc w:val="both"/>
        <w:rPr>
          <w:rFonts w:ascii="Times New Roman" w:hAnsi="Times New Roman" w:cs="Times New Roman"/>
        </w:rPr>
      </w:pPr>
      <w:r w:rsidRPr="005D7460">
        <w:rPr>
          <w:rFonts w:ascii="Times New Roman" w:hAnsi="Times New Roman" w:cs="Times New Roman"/>
        </w:rPr>
        <w:t>Wszystkie roboty wymienione w SST podlegają zasadom odbioru robót zanikających.</w:t>
      </w:r>
      <w:r w:rsidR="0035332B">
        <w:rPr>
          <w:rFonts w:ascii="Times New Roman" w:hAnsi="Times New Roman" w:cs="Times New Roman"/>
        </w:rPr>
        <w:t xml:space="preserve"> </w:t>
      </w:r>
      <w:r w:rsidRPr="005D7460">
        <w:rPr>
          <w:rFonts w:ascii="Times New Roman" w:hAnsi="Times New Roman" w:cs="Times New Roman"/>
        </w:rPr>
        <w:t xml:space="preserve">Odbiór obejmuje wszystkie materiały </w:t>
      </w:r>
      <w:r w:rsidR="009A3ABF">
        <w:rPr>
          <w:rFonts w:ascii="Times New Roman" w:hAnsi="Times New Roman" w:cs="Times New Roman"/>
        </w:rPr>
        <w:t>związane z zakresem zadania.</w:t>
      </w:r>
    </w:p>
    <w:p w14:paraId="68106878" w14:textId="77777777" w:rsidR="005D7460" w:rsidRPr="00AA6624" w:rsidRDefault="005D7460" w:rsidP="0035332B">
      <w:pPr>
        <w:jc w:val="both"/>
        <w:rPr>
          <w:rFonts w:ascii="Times New Roman" w:hAnsi="Times New Roman" w:cs="Times New Roman"/>
          <w:b/>
          <w:bCs/>
        </w:rPr>
      </w:pPr>
      <w:r w:rsidRPr="00AA6624">
        <w:rPr>
          <w:rFonts w:ascii="Times New Roman" w:hAnsi="Times New Roman" w:cs="Times New Roman"/>
          <w:b/>
          <w:bCs/>
        </w:rPr>
        <w:t>10. Przepisy związane.</w:t>
      </w:r>
    </w:p>
    <w:p w14:paraId="5884A201"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PN-B-10085:2001 Stolarka budowlana. Okna i drzwi. Wymagania i badania.</w:t>
      </w:r>
    </w:p>
    <w:p w14:paraId="69EB56AF" w14:textId="58646DA5" w:rsidR="005D7460" w:rsidRPr="005D7460" w:rsidRDefault="005D7460" w:rsidP="0035332B">
      <w:pPr>
        <w:jc w:val="both"/>
        <w:rPr>
          <w:rFonts w:ascii="Times New Roman" w:hAnsi="Times New Roman" w:cs="Times New Roman"/>
        </w:rPr>
      </w:pPr>
      <w:r w:rsidRPr="005D7460">
        <w:rPr>
          <w:rFonts w:ascii="Times New Roman" w:hAnsi="Times New Roman" w:cs="Times New Roman"/>
        </w:rPr>
        <w:t>PN-EN 1906:2003 Okucia budowlane. Klamki i gałki drzwiowe wraz z tarczami. Wymagania i</w:t>
      </w:r>
      <w:r w:rsidR="0035332B">
        <w:rPr>
          <w:rFonts w:ascii="Times New Roman" w:hAnsi="Times New Roman" w:cs="Times New Roman"/>
        </w:rPr>
        <w:t xml:space="preserve"> </w:t>
      </w:r>
      <w:r w:rsidRPr="005D7460">
        <w:rPr>
          <w:rFonts w:ascii="Times New Roman" w:hAnsi="Times New Roman" w:cs="Times New Roman"/>
        </w:rPr>
        <w:t>metody badań</w:t>
      </w:r>
    </w:p>
    <w:p w14:paraId="046959CF" w14:textId="77777777" w:rsidR="005D7460" w:rsidRPr="005D7460" w:rsidRDefault="005D7460" w:rsidP="0035332B">
      <w:pPr>
        <w:jc w:val="both"/>
        <w:rPr>
          <w:rFonts w:ascii="Times New Roman" w:hAnsi="Times New Roman" w:cs="Times New Roman"/>
        </w:rPr>
      </w:pPr>
      <w:r w:rsidRPr="005D7460">
        <w:rPr>
          <w:rFonts w:ascii="Times New Roman" w:hAnsi="Times New Roman" w:cs="Times New Roman"/>
        </w:rPr>
        <w:t>PN-EN 1935:2003 Okucia budowlane. Zawiasy jednoosiowe. Wymagania i metody badań</w:t>
      </w:r>
    </w:p>
    <w:p w14:paraId="4070683B" w14:textId="767B5869" w:rsidR="005D7460" w:rsidRPr="005D7460" w:rsidRDefault="005D7460" w:rsidP="0035332B">
      <w:pPr>
        <w:jc w:val="both"/>
        <w:rPr>
          <w:rFonts w:ascii="Times New Roman" w:hAnsi="Times New Roman" w:cs="Times New Roman"/>
        </w:rPr>
      </w:pPr>
      <w:r w:rsidRPr="005D7460">
        <w:rPr>
          <w:rFonts w:ascii="Times New Roman" w:hAnsi="Times New Roman" w:cs="Times New Roman"/>
        </w:rPr>
        <w:t>PN-EN 12365-1:2004 (U) Okucia budowlane. Uszczelki i taśmy uszczelniające do drzwi, okien,</w:t>
      </w:r>
      <w:r w:rsidR="0035332B">
        <w:rPr>
          <w:rFonts w:ascii="Times New Roman" w:hAnsi="Times New Roman" w:cs="Times New Roman"/>
        </w:rPr>
        <w:t xml:space="preserve"> </w:t>
      </w:r>
      <w:r w:rsidRPr="005D7460">
        <w:rPr>
          <w:rFonts w:ascii="Times New Roman" w:hAnsi="Times New Roman" w:cs="Times New Roman"/>
        </w:rPr>
        <w:t>żaluzji i ścian osłonowych. Część 1: Wymagania eksploatacyjne i klasyfikacja</w:t>
      </w:r>
    </w:p>
    <w:sectPr w:rsidR="005D7460" w:rsidRPr="005D74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72D1E"/>
    <w:multiLevelType w:val="hybridMultilevel"/>
    <w:tmpl w:val="32D8F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B8A1EE7"/>
    <w:multiLevelType w:val="hybridMultilevel"/>
    <w:tmpl w:val="7B4EE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D401EB7"/>
    <w:multiLevelType w:val="hybridMultilevel"/>
    <w:tmpl w:val="1A7A0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62807739">
    <w:abstractNumId w:val="1"/>
  </w:num>
  <w:num w:numId="2" w16cid:durableId="1160465814">
    <w:abstractNumId w:val="0"/>
  </w:num>
  <w:num w:numId="3" w16cid:durableId="8094446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60"/>
    <w:rsid w:val="001442EC"/>
    <w:rsid w:val="0035332B"/>
    <w:rsid w:val="00512FA6"/>
    <w:rsid w:val="005D7460"/>
    <w:rsid w:val="006A6237"/>
    <w:rsid w:val="008C60BF"/>
    <w:rsid w:val="009A3ABF"/>
    <w:rsid w:val="00AA6624"/>
    <w:rsid w:val="00AD0C43"/>
    <w:rsid w:val="00DA44AC"/>
    <w:rsid w:val="00E54A37"/>
    <w:rsid w:val="00F27B26"/>
    <w:rsid w:val="00F33BCF"/>
    <w:rsid w:val="00F51979"/>
    <w:rsid w:val="00FB0F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D639B"/>
  <w15:chartTrackingRefBased/>
  <w15:docId w15:val="{4F80847E-E6E2-4206-BF29-5FBF31E9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D74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D74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D746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D746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D746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D74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D74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D74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D74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746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D746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D746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D746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D746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D74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D74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D74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D7460"/>
    <w:rPr>
      <w:rFonts w:eastAsiaTheme="majorEastAsia" w:cstheme="majorBidi"/>
      <w:color w:val="272727" w:themeColor="text1" w:themeTint="D8"/>
    </w:rPr>
  </w:style>
  <w:style w:type="paragraph" w:styleId="Tytu">
    <w:name w:val="Title"/>
    <w:basedOn w:val="Normalny"/>
    <w:next w:val="Normalny"/>
    <w:link w:val="TytuZnak"/>
    <w:uiPriority w:val="10"/>
    <w:qFormat/>
    <w:rsid w:val="005D7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D74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D74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D74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D7460"/>
    <w:pPr>
      <w:spacing w:before="160"/>
      <w:jc w:val="center"/>
    </w:pPr>
    <w:rPr>
      <w:i/>
      <w:iCs/>
      <w:color w:val="404040" w:themeColor="text1" w:themeTint="BF"/>
    </w:rPr>
  </w:style>
  <w:style w:type="character" w:customStyle="1" w:styleId="CytatZnak">
    <w:name w:val="Cytat Znak"/>
    <w:basedOn w:val="Domylnaczcionkaakapitu"/>
    <w:link w:val="Cytat"/>
    <w:uiPriority w:val="29"/>
    <w:rsid w:val="005D7460"/>
    <w:rPr>
      <w:i/>
      <w:iCs/>
      <w:color w:val="404040" w:themeColor="text1" w:themeTint="BF"/>
    </w:rPr>
  </w:style>
  <w:style w:type="paragraph" w:styleId="Akapitzlist">
    <w:name w:val="List Paragraph"/>
    <w:basedOn w:val="Normalny"/>
    <w:uiPriority w:val="34"/>
    <w:qFormat/>
    <w:rsid w:val="005D7460"/>
    <w:pPr>
      <w:ind w:left="720"/>
      <w:contextualSpacing/>
    </w:pPr>
  </w:style>
  <w:style w:type="character" w:styleId="Wyrnienieintensywne">
    <w:name w:val="Intense Emphasis"/>
    <w:basedOn w:val="Domylnaczcionkaakapitu"/>
    <w:uiPriority w:val="21"/>
    <w:qFormat/>
    <w:rsid w:val="005D7460"/>
    <w:rPr>
      <w:i/>
      <w:iCs/>
      <w:color w:val="2F5496" w:themeColor="accent1" w:themeShade="BF"/>
    </w:rPr>
  </w:style>
  <w:style w:type="paragraph" w:styleId="Cytatintensywny">
    <w:name w:val="Intense Quote"/>
    <w:basedOn w:val="Normalny"/>
    <w:next w:val="Normalny"/>
    <w:link w:val="CytatintensywnyZnak"/>
    <w:uiPriority w:val="30"/>
    <w:qFormat/>
    <w:rsid w:val="005D74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D7460"/>
    <w:rPr>
      <w:i/>
      <w:iCs/>
      <w:color w:val="2F5496" w:themeColor="accent1" w:themeShade="BF"/>
    </w:rPr>
  </w:style>
  <w:style w:type="character" w:styleId="Odwoanieintensywne">
    <w:name w:val="Intense Reference"/>
    <w:basedOn w:val="Domylnaczcionkaakapitu"/>
    <w:uiPriority w:val="32"/>
    <w:qFormat/>
    <w:rsid w:val="005D7460"/>
    <w:rPr>
      <w:b/>
      <w:bCs/>
      <w:smallCaps/>
      <w:color w:val="2F5496" w:themeColor="accent1" w:themeShade="BF"/>
      <w:spacing w:val="5"/>
    </w:rPr>
  </w:style>
  <w:style w:type="paragraph" w:styleId="Bezodstpw">
    <w:name w:val="No Spacing"/>
    <w:uiPriority w:val="1"/>
    <w:qFormat/>
    <w:rsid w:val="003533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967</Words>
  <Characters>5803</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Justyna Jakieła</cp:lastModifiedBy>
  <cp:revision>3</cp:revision>
  <dcterms:created xsi:type="dcterms:W3CDTF">2026-03-31T06:35:00Z</dcterms:created>
  <dcterms:modified xsi:type="dcterms:W3CDTF">2026-04-07T12:53:00Z</dcterms:modified>
</cp:coreProperties>
</file>